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078B4" w14:textId="77777777" w:rsidR="00A85D8A" w:rsidRPr="003C34BB" w:rsidRDefault="00000000" w:rsidP="00736537">
      <w:pPr>
        <w:pStyle w:val="Title"/>
        <w:jc w:val="center"/>
        <w:rPr>
          <w:b/>
          <w:bCs/>
          <w:color w:val="4C94D8" w:themeColor="text2" w:themeTint="80"/>
          <w:sz w:val="52"/>
          <w:szCs w:val="52"/>
        </w:rPr>
      </w:pPr>
      <w:r>
        <w:rPr>
          <w:b/>
          <w:bCs/>
          <w:color w:val="4C94D8" w:themeColor="text2" w:themeTint="80"/>
          <w:sz w:val="52"/>
          <w:szCs w:val="52"/>
        </w:rPr>
        <w:t>NANO ALUMINA USA</w:t>
      </w:r>
    </w:p>
    <w:p w14:paraId="3E138AED" w14:textId="77777777" w:rsidR="00A85D8A" w:rsidRPr="002A641F" w:rsidRDefault="00000000" w:rsidP="002A641F">
      <w:pPr>
        <w:pStyle w:val="Subtitle"/>
        <w:jc w:val="center"/>
        <w:rPr>
          <w:b/>
          <w:bCs/>
          <w:color w:val="C00000"/>
          <w:sz w:val="24"/>
          <w:szCs w:val="24"/>
        </w:rPr>
      </w:pPr>
      <w:r>
        <w:rPr>
          <w:b/>
          <w:bCs/>
          <w:color w:val="C00000"/>
          <w:sz w:val="24"/>
          <w:szCs w:val="24"/>
        </w:rPr>
        <w:t>Why NAU Is an Attractive Investment Now</w:t>
      </w:r>
    </w:p>
    <w:p w14:paraId="479C44F3" w14:textId="5F503536" w:rsidR="00736537" w:rsidRPr="007419DA" w:rsidRDefault="00000000" w:rsidP="007419DA">
      <w:pPr>
        <w:pStyle w:val="SubSubTitle"/>
      </w:pPr>
      <w:r>
        <w:t>A domestic, low-carbon producer of strategic nano-scale high-purity alumina</w:t>
      </w:r>
    </w:p>
    <w:p w14:paraId="510DF186" w14:textId="00557DD3" w:rsidR="00A85D8A" w:rsidRPr="007419DA" w:rsidRDefault="00F008CD" w:rsidP="007419DA">
      <w:pPr>
        <w:pStyle w:val="SubSubTitle"/>
      </w:pPr>
      <w:r>
        <w:t xml:space="preserve">August </w:t>
      </w:r>
      <w:r w:rsidR="00000000">
        <w:t>2026</w:t>
      </w:r>
    </w:p>
    <w:p w14:paraId="1EF773F4" w14:textId="77777777" w:rsidR="00A85D8A" w:rsidRDefault="00A85D8A" w:rsidP="002A641F">
      <w:pPr>
        <w:pBdr>
          <w:bottom w:val="single" w:sz="4" w:space="1" w:color="auto"/>
        </w:pBdr>
      </w:pPr>
    </w:p>
    <w:p w14:paraId="16281C0E" w14:textId="4C38CDF7" w:rsidR="00D36A59" w:rsidRPr="003C34BB" w:rsidRDefault="00D36A59" w:rsidP="00C07F1B">
      <w:r>
        <w:t xml:space="preserve">Nano Alumina USA (“NAU”) sits at a strategic choke point in the next industrial cycle: </w:t>
      </w:r>
      <w:r w:rsidR="00843633">
        <w:t xml:space="preserve">we provide </w:t>
      </w:r>
      <w:r>
        <w:t>the ultra-pure materials required for AI infrastructure, semiconductor manufacturing, battery storage, and defense applications that the United States still sources largely from abroad.</w:t>
      </w:r>
    </w:p>
    <w:p w14:paraId="1BC8F258" w14:textId="77777777" w:rsidR="00D36A59" w:rsidRPr="003C34BB" w:rsidRDefault="00D36A59" w:rsidP="005B7FA1">
      <w:r>
        <w:t>NAU’s thesis is straightforward: produce these materials domestically, with lower carbon intensity, at purity levels and particle sizes that can support premium pricing in high-value applications</w:t>
      </w:r>
      <w:proofErr w:type="gramStart"/>
      <w:r>
        <w:t xml:space="preserve">. </w:t>
      </w:r>
      <w:proofErr w:type="gramEnd"/>
      <w:r>
        <w:t>The investment case rests on four pillars: differentiated process technology, exposure to strategic end markets, demand pull from AI-led infrastructure build-out, and strong alignment with reshoring and supply-chain-security priorities.</w:t>
      </w:r>
    </w:p>
    <w:p w14:paraId="0705E8B9" w14:textId="77777777" w:rsidR="00A85D8A" w:rsidRPr="00736537" w:rsidRDefault="00000000" w:rsidP="00736537">
      <w:pPr>
        <w:pStyle w:val="Heading1"/>
      </w:pPr>
      <w:r>
        <w:t>1</w:t>
      </w:r>
      <w:proofErr w:type="gramStart"/>
      <w:r>
        <w:t>.  A</w:t>
      </w:r>
      <w:proofErr w:type="gramEnd"/>
      <w:r>
        <w:t xml:space="preserve"> Proprietary Process and a Unique Competitive Position</w:t>
      </w:r>
    </w:p>
    <w:p w14:paraId="08BDB104" w14:textId="77777777" w:rsidR="00D36A59" w:rsidRPr="003C34BB" w:rsidRDefault="00D36A59" w:rsidP="00BB0457">
      <w:r>
        <w:t>NAU plans to produce nano-scale high-purity alumina (“HPA”) from a modular production platform in Baton Rouge, Louisiana, using technology licensed from the University of California, Santa Cruz</w:t>
      </w:r>
      <w:proofErr w:type="gramStart"/>
      <w:r>
        <w:t xml:space="preserve">. </w:t>
      </w:r>
      <w:proofErr w:type="gramEnd"/>
      <w:r>
        <w:t>The process is differentiated from conventional HPA routes</w:t>
      </w:r>
      <w:proofErr w:type="gramStart"/>
      <w:r>
        <w:t xml:space="preserve">. </w:t>
      </w:r>
      <w:proofErr w:type="gramEnd"/>
      <w:r>
        <w:t>Instead of relying on bauxite- or kaolin-based refining with high heat and high carbon intensity, NAU proposes to use recycled aluminum feedstock in a low-temperature, gallium-catalyzed process designed to recycle catalyst, minimize direct CO</w:t>
      </w:r>
      <w:r>
        <w:rPr>
          <w:rFonts w:ascii="Cambria Math" w:hAnsi="Cambria Math"/>
        </w:rPr>
        <w:t>₂</w:t>
      </w:r>
      <w:r>
        <w:t xml:space="preserve"> emissions, and generate hydrogen as a potential co-product</w:t>
      </w:r>
      <w:proofErr w:type="gramStart"/>
      <w:r>
        <w:t xml:space="preserve">. </w:t>
      </w:r>
      <w:proofErr w:type="gramEnd"/>
      <w:r>
        <w:t>If executed as planned, this would offer a lower-cost, lower-carbon pathway to a material that is typically expensive and energy-intensive to produce.</w:t>
      </w:r>
    </w:p>
    <w:p w14:paraId="1180221F" w14:textId="77777777" w:rsidR="00843633" w:rsidRDefault="00D36A59" w:rsidP="00462AC3">
      <w:r>
        <w:t xml:space="preserve">One dependency deserves candid mention: the process relies on gallium as its catalyst, and gallium </w:t>
      </w:r>
      <w:r w:rsidR="00843633">
        <w:t>relies on</w:t>
      </w:r>
      <w:r>
        <w:t xml:space="preserve"> a China-dominated </w:t>
      </w:r>
      <w:r w:rsidR="00843633">
        <w:t>supply chain</w:t>
      </w:r>
      <w:r>
        <w:t xml:space="preserve"> subject to export controls</w:t>
      </w:r>
      <w:proofErr w:type="gramStart"/>
      <w:r>
        <w:t xml:space="preserve">. </w:t>
      </w:r>
      <w:proofErr w:type="gramEnd"/>
      <w:r>
        <w:t>NAU treats this as a</w:t>
      </w:r>
      <w:r w:rsidR="00843633">
        <w:t xml:space="preserve"> </w:t>
      </w:r>
      <w:r>
        <w:t>ris</w:t>
      </w:r>
      <w:r w:rsidR="00843633">
        <w:t>k that can be managed with three strategies:</w:t>
      </w:r>
      <w:r>
        <w:t xml:space="preserve"> </w:t>
      </w:r>
    </w:p>
    <w:p w14:paraId="78F9E11D" w14:textId="77777777" w:rsidR="00843633" w:rsidRDefault="00843633" w:rsidP="00843633">
      <w:pPr>
        <w:pStyle w:val="ListParagraph"/>
        <w:numPr>
          <w:ilvl w:val="0"/>
          <w:numId w:val="12"/>
        </w:numPr>
      </w:pPr>
      <w:r>
        <w:t>Our</w:t>
      </w:r>
      <w:r w:rsidR="00D36A59">
        <w:t xml:space="preserve"> process is designed to recover well above 99% of its gallium per cycle for reuse, so steady-state make-up requirements are small; </w:t>
      </w:r>
    </w:p>
    <w:p w14:paraId="71E89A01" w14:textId="4AF1CDF2" w:rsidR="00843633" w:rsidRDefault="00843633" w:rsidP="00843633">
      <w:pPr>
        <w:pStyle w:val="ListParagraph"/>
        <w:numPr>
          <w:ilvl w:val="0"/>
          <w:numId w:val="12"/>
        </w:numPr>
      </w:pPr>
      <w:r>
        <w:t>T</w:t>
      </w:r>
      <w:r w:rsidR="00D36A59">
        <w:t>he initial system charge is held as a strategic on-site inventory</w:t>
      </w:r>
      <w:r>
        <w:t xml:space="preserve"> with a buffer that protects against supply-chain interruptions</w:t>
      </w:r>
      <w:r w:rsidR="00D36A59">
        <w:t xml:space="preserve">; </w:t>
      </w:r>
    </w:p>
    <w:p w14:paraId="3C2EA0CF" w14:textId="53CF7651" w:rsidR="00843633" w:rsidRDefault="00D36A59" w:rsidP="00843633">
      <w:pPr>
        <w:pStyle w:val="ListParagraph"/>
        <w:numPr>
          <w:ilvl w:val="0"/>
          <w:numId w:val="12"/>
        </w:numPr>
      </w:pPr>
      <w:r>
        <w:t xml:space="preserve">NAU intends to source that </w:t>
      </w:r>
      <w:r w:rsidR="00843633">
        <w:t xml:space="preserve">initial system charge </w:t>
      </w:r>
      <w:r>
        <w:t xml:space="preserve">from recyclers and secondary producers in the United States, Canada, and Europe. </w:t>
      </w:r>
    </w:p>
    <w:p w14:paraId="703C9595" w14:textId="5DA7B9E0" w:rsidR="00D36A59" w:rsidRPr="003C34BB" w:rsidRDefault="00D36A59" w:rsidP="00462AC3">
      <w:r>
        <w:t xml:space="preserve">Notably, the domestic </w:t>
      </w:r>
      <w:r w:rsidR="00843633">
        <w:t xml:space="preserve">gallium </w:t>
      </w:r>
      <w:r>
        <w:t>supply picture is improving in NAU’s favor: a $450 million public-private partnership announced in January 2026</w:t>
      </w:r>
      <w:r w:rsidR="00843633">
        <w:t xml:space="preserve">, with </w:t>
      </w:r>
      <w:r>
        <w:t xml:space="preserve">backing </w:t>
      </w:r>
      <w:r w:rsidR="00843633">
        <w:t xml:space="preserve">from </w:t>
      </w:r>
      <w:r>
        <w:t>the U.S. Department of Defense, private investors, and Atlantic Alumina Company (ATALCO</w:t>
      </w:r>
      <w:r w:rsidR="00843633">
        <w:t>),</w:t>
      </w:r>
      <w:r>
        <w:t xml:space="preserve"> is building the first large-scale primary gallium-recovery circuit at ATALCO’s Gramercy, Louisiana refinery</w:t>
      </w:r>
      <w:r w:rsidR="00843633">
        <w:t xml:space="preserve">.  This facility </w:t>
      </w:r>
      <w:proofErr w:type="gramStart"/>
      <w:r w:rsidR="00843633">
        <w:t xml:space="preserve">is </w:t>
      </w:r>
      <w:r>
        <w:t xml:space="preserve"> targeting</w:t>
      </w:r>
      <w:proofErr w:type="gramEnd"/>
      <w:r>
        <w:t xml:space="preserve"> up to 50 metric tons per year (enough to meet baseline U.S. demand) with commercial ramp expected in 2028–2029</w:t>
      </w:r>
      <w:proofErr w:type="gramStart"/>
      <w:r>
        <w:t xml:space="preserve">. </w:t>
      </w:r>
      <w:proofErr w:type="gramEnd"/>
      <w:r>
        <w:t xml:space="preserve">Because Gramercy is in the same state as NAU’s Baton Rouge campus, it </w:t>
      </w:r>
      <w:r w:rsidR="00843633">
        <w:t>creates the opportunity for an</w:t>
      </w:r>
      <w:r>
        <w:t xml:space="preserve"> in-state, defense-backed primary gallium source coming online just as NAU’s own trains commission.</w:t>
      </w:r>
    </w:p>
    <w:p w14:paraId="050B6441" w14:textId="77777777" w:rsidR="00921C6F" w:rsidRDefault="00921C6F" w:rsidP="00462AC3"/>
    <w:p w14:paraId="4260EDEA" w14:textId="77777777" w:rsidR="00921C6F" w:rsidRDefault="00921C6F" w:rsidP="00462AC3"/>
    <w:p w14:paraId="18DA4834" w14:textId="77777777" w:rsidR="00921C6F" w:rsidRDefault="00921C6F" w:rsidP="00462AC3"/>
    <w:p w14:paraId="5F4358A2" w14:textId="1B9406EC" w:rsidR="00D36A59" w:rsidRPr="003C34BB" w:rsidRDefault="00D36A59" w:rsidP="00462AC3">
      <w:r>
        <w:t>Two features define NAU’s potential competitive advantage:</w:t>
      </w:r>
    </w:p>
    <w:p w14:paraId="35AC2115" w14:textId="09C0AAFE" w:rsidR="00D36A59" w:rsidRDefault="00D36A59" w:rsidP="00D36A59">
      <w:pPr>
        <w:pStyle w:val="ListParagraph"/>
        <w:rPr>
          <w:kern w:val="2"/>
          <w14:ligatures w14:val="standardContextual"/>
        </w:rPr>
      </w:pPr>
      <w:r>
        <w:rPr>
          <w:b/>
          <w:bCs/>
        </w:rPr>
        <w:t>Purity and particle engineering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>NAU is targeting 4N5 (99.995%) purity at nano-scale crystal sizes of roughly 50–</w:t>
      </w:r>
      <w:r w:rsidR="00AC4BE2">
        <w:t>2</w:t>
      </w:r>
      <w:r>
        <w:t>50 nm</w:t>
      </w:r>
      <w:proofErr w:type="gramStart"/>
      <w:r>
        <w:t xml:space="preserve">. </w:t>
      </w:r>
      <w:proofErr w:type="gramEnd"/>
      <w:r>
        <w:t>That combination is relevant to specialized applications where impurity control and particle uniformity drive performance and pricing.</w:t>
      </w:r>
    </w:p>
    <w:p w14:paraId="277E017D" w14:textId="77777777" w:rsidR="00D36A59" w:rsidRDefault="00D36A59" w:rsidP="00D36A59">
      <w:pPr>
        <w:pStyle w:val="ListParagraph"/>
      </w:pPr>
      <w:r>
        <w:rPr>
          <w:b/>
          <w:bCs/>
        </w:rPr>
        <w:t>Modular, application-focused expansion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>Rather than competing on commodity volume, NAU is positioned as a premium domestic supplier focused on quality, traceability, and responsive capacity additions</w:t>
      </w:r>
      <w:proofErr w:type="gramStart"/>
      <w:r>
        <w:t xml:space="preserve">. </w:t>
      </w:r>
      <w:proofErr w:type="gramEnd"/>
      <w:r>
        <w:t>In end markets with long qualification cycles, those attributes can support durable customer relationships once approved.</w:t>
      </w:r>
    </w:p>
    <w:p w14:paraId="280BF09A" w14:textId="77777777" w:rsidR="00A85D8A" w:rsidRPr="00736537" w:rsidRDefault="00000000" w:rsidP="00736537">
      <w:pPr>
        <w:pStyle w:val="Heading1"/>
      </w:pPr>
      <w:r>
        <w:t>2</w:t>
      </w:r>
      <w:proofErr w:type="gramStart"/>
      <w:r>
        <w:t>.  Strategic</w:t>
      </w:r>
      <w:proofErr w:type="gramEnd"/>
      <w:r>
        <w:t xml:space="preserve"> Materials at the Intersection of Four Mega-Trends</w:t>
      </w:r>
    </w:p>
    <w:p w14:paraId="6D1A15C4" w14:textId="3F6C93FC" w:rsidR="00D36A59" w:rsidRPr="003C34BB" w:rsidRDefault="00D36A59" w:rsidP="00587ED9">
      <w:r>
        <w:t xml:space="preserve">NAU’s three lead products — </w:t>
      </w:r>
      <w:r>
        <w:rPr>
          <w:b/>
          <w:bCs/>
        </w:rPr>
        <w:t>4N5 nano alpha-alumina, nano bayerite, and nano boehmite</w:t>
      </w:r>
      <w:r>
        <w:t xml:space="preserve"> — are tied to four large and durable demand themes: AI data centers, semiconductor manufacturing, energy storage, and defense-related supply chains</w:t>
      </w:r>
      <w:proofErr w:type="gramStart"/>
      <w:r>
        <w:t xml:space="preserve">. </w:t>
      </w:r>
      <w:proofErr w:type="gramEnd"/>
      <w:r>
        <w:t>That positioning matters because both alumina and gallium are increasingly discussed within U.S. critical-materials policy and supply-chain-security efforts, including recent Department of Energy initiatives focused on restarting domestic gallium recovery and the broader U.S. Geological Survey critical-minerals framework.</w:t>
      </w:r>
    </w:p>
    <w:p w14:paraId="55DC1277" w14:textId="77777777" w:rsidR="00D36A59" w:rsidRPr="003C34BB" w:rsidRDefault="00D36A59" w:rsidP="005248BF">
      <w:r>
        <w:t>Each product addresses a distinct and growing demand pool:</w:t>
      </w:r>
    </w:p>
    <w:p w14:paraId="76BD32B3" w14:textId="77777777" w:rsidR="00D36A59" w:rsidRDefault="00D36A59" w:rsidP="00D36A59">
      <w:pPr>
        <w:pStyle w:val="ListParagraph"/>
        <w:rPr>
          <w:kern w:val="2"/>
          <w14:ligatures w14:val="standardContextual"/>
        </w:rPr>
      </w:pPr>
      <w:r>
        <w:rPr>
          <w:b/>
          <w:bCs/>
          <w:sz w:val="24"/>
          <w:szCs w:val="24"/>
        </w:rPr>
        <w:t>Nano alpha-alumina</w:t>
      </w:r>
      <w:r>
        <w:t xml:space="preserve"> — used in thermal fillers, ceramic substrates, CMP abrasives, and synthetic sapphire precursor applications relevant to semiconductor fabrication, power electronics, LEDs, and advanced packaging</w:t>
      </w:r>
      <w:proofErr w:type="gramStart"/>
      <w:r>
        <w:t xml:space="preserve">. </w:t>
      </w:r>
      <w:proofErr w:type="gramEnd"/>
      <w:r>
        <w:t>High-purity alumina is also used where thermal conductivity, electrical insulation, and ultra-low contamination are critical to performance.</w:t>
      </w:r>
    </w:p>
    <w:p w14:paraId="534EE434" w14:textId="77777777" w:rsidR="00D36A59" w:rsidRDefault="00D36A59" w:rsidP="00D36A59">
      <w:pPr>
        <w:pStyle w:val="ListParagraph"/>
      </w:pPr>
      <w:r>
        <w:rPr>
          <w:b/>
          <w:bCs/>
          <w:sz w:val="24"/>
          <w:szCs w:val="24"/>
        </w:rPr>
        <w:t>Nano boehmite</w:t>
      </w:r>
      <w:r>
        <w:t xml:space="preserve"> — widely used in ceramic coatings for lithium-ion battery separators and related applications where thermal stability, puncture resistance, and safety performance matter</w:t>
      </w:r>
      <w:proofErr w:type="gramStart"/>
      <w:r>
        <w:t xml:space="preserve">. </w:t>
      </w:r>
      <w:proofErr w:type="gramEnd"/>
      <w:r>
        <w:t>High-purity alumina and boehmite derivatives are increasingly relevant to battery manufacturing as energy density and safety requirements rise.</w:t>
      </w:r>
    </w:p>
    <w:p w14:paraId="14957D61" w14:textId="77777777" w:rsidR="00D36A59" w:rsidRDefault="00D36A59" w:rsidP="00D36A59">
      <w:pPr>
        <w:pStyle w:val="ListParagraph"/>
      </w:pPr>
      <w:r>
        <w:rPr>
          <w:b/>
          <w:bCs/>
          <w:sz w:val="24"/>
          <w:szCs w:val="24"/>
        </w:rPr>
        <w:t>Nano bayerite</w:t>
      </w:r>
      <w:r>
        <w:t xml:space="preserve"> — a specialty precursor that can be converted into boehmite and transition </w:t>
      </w:r>
      <w:proofErr w:type="spellStart"/>
      <w:r>
        <w:t>aluminas</w:t>
      </w:r>
      <w:proofErr w:type="spellEnd"/>
      <w:r>
        <w:t xml:space="preserve"> for catalyst, engineered ceramic, and polymer-dispersion applications, making it valuable as a flexible upstream feedstock rather than a single-use product.</w:t>
      </w:r>
    </w:p>
    <w:p w14:paraId="45F7A796" w14:textId="77777777" w:rsidR="00D36A59" w:rsidRPr="003C34BB" w:rsidRDefault="00D36A59" w:rsidP="00573959">
      <w:r>
        <w:t>This positioning is strategically important because customers are increasingly evaluating not only material performance, but also origin, resilience, and carbon profile</w:t>
      </w:r>
      <w:proofErr w:type="gramStart"/>
      <w:r>
        <w:t xml:space="preserve">. </w:t>
      </w:r>
      <w:proofErr w:type="gramEnd"/>
      <w:r>
        <w:t>A U.S.-based producer with a differentiated process and traceable supply chain is aligned with how both industrial buyers and policymakers are now thinking about critical inputs.</w:t>
      </w:r>
    </w:p>
    <w:p w14:paraId="48E50BEB" w14:textId="77777777" w:rsidR="00C90B48" w:rsidRDefault="00000000">
      <w:pPr>
        <w:pStyle w:val="Heading1"/>
      </w:pPr>
      <w:r>
        <w:t>3</w:t>
      </w:r>
      <w:proofErr w:type="gramStart"/>
      <w:r>
        <w:t>.  The</w:t>
      </w:r>
      <w:proofErr w:type="gramEnd"/>
      <w:r>
        <w:t xml:space="preserve"> Three Nano-Alumina Products: Core Properties and the Applications They Unlock</w:t>
      </w:r>
    </w:p>
    <w:p w14:paraId="16071BD4" w14:textId="26C4447F" w:rsidR="00C90B48" w:rsidRDefault="00000000">
      <w:r>
        <w:t>NAU’s commercial advantage is best understood at the level of materials science</w:t>
      </w:r>
      <w:proofErr w:type="gramStart"/>
      <w:r>
        <w:t xml:space="preserve">. </w:t>
      </w:r>
      <w:proofErr w:type="gramEnd"/>
      <w:r>
        <w:t>A single reactor output traverses a natural sequence of aluminum hydroxide</w:t>
      </w:r>
      <w:r w:rsidR="00AC4BE2">
        <w:t xml:space="preserve"> and aluminum oxide</w:t>
      </w:r>
      <w:r>
        <w:t xml:space="preserve"> crystal phases, and each phase is isolated as a distinct, high-value product: nano bayerite, nano boehmite, and nano alpha-alumina</w:t>
      </w:r>
      <w:proofErr w:type="gramStart"/>
      <w:r>
        <w:t xml:space="preserve">. </w:t>
      </w:r>
      <w:proofErr w:type="gramEnd"/>
      <w:r>
        <w:t>No additional feedstock or parallel production lines are required — the chemistry itself differentiates the products, and controlled downstream processing (washing, hydrothermal conditioning, or calcination) determines which phase is captured</w:t>
      </w:r>
      <w:proofErr w:type="gramStart"/>
      <w:r>
        <w:t xml:space="preserve">. </w:t>
      </w:r>
      <w:proofErr w:type="gramEnd"/>
      <w:r>
        <w:t xml:space="preserve">This structural </w:t>
      </w:r>
      <w:r>
        <w:lastRenderedPageBreak/>
        <w:t>multi-product capability is difficult for alkoxide-route competitors to replicate, because their processes are optimized for a single output.</w:t>
      </w:r>
    </w:p>
    <w:p w14:paraId="29C3453F" w14:textId="77777777" w:rsidR="00C90B48" w:rsidRDefault="00000000">
      <w:r>
        <w:t>The value of each product rests on a small set of physical and chemical properties</w:t>
      </w:r>
      <w:proofErr w:type="gramStart"/>
      <w:r>
        <w:t xml:space="preserve">. </w:t>
      </w:r>
      <w:proofErr w:type="gramEnd"/>
      <w:r>
        <w:t>Two of these properties are shared across the entire family; the others are determined by crystal phase and are what make each material the preferred choice in its target industries.</w:t>
      </w:r>
    </w:p>
    <w:p w14:paraId="43444253" w14:textId="77777777" w:rsidR="00C90B48" w:rsidRDefault="00000000">
      <w:pPr>
        <w:rPr>
          <w:b/>
          <w:bCs/>
          <w:color w:val="2E74B5"/>
          <w:sz w:val="26"/>
          <w:szCs w:val="26"/>
        </w:rPr>
      </w:pPr>
      <w:proofErr w:type="gramStart"/>
      <w:r>
        <w:rPr>
          <w:b/>
          <w:bCs/>
          <w:color w:val="2E74B5"/>
          <w:sz w:val="26"/>
          <w:szCs w:val="26"/>
        </w:rPr>
        <w:t>3.1  The</w:t>
      </w:r>
      <w:proofErr w:type="gramEnd"/>
      <w:r>
        <w:rPr>
          <w:b/>
          <w:bCs/>
          <w:color w:val="2E74B5"/>
          <w:sz w:val="26"/>
          <w:szCs w:val="26"/>
        </w:rPr>
        <w:t xml:space="preserve"> Core Properties Shared Across the Product Family</w:t>
      </w:r>
    </w:p>
    <w:p w14:paraId="2CB14C16" w14:textId="146A2FE9" w:rsidR="00C90B48" w:rsidRDefault="00000000">
      <w:r>
        <w:rPr>
          <w:b/>
          <w:bCs/>
        </w:rPr>
        <w:t>Nanoscale crystal size and high surface area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 xml:space="preserve">All three products are manufactured </w:t>
      </w:r>
      <w:r w:rsidR="00AC4BE2">
        <w:t xml:space="preserve">at the sub-micron </w:t>
      </w:r>
      <w:r>
        <w:t>particle size</w:t>
      </w:r>
      <w:r w:rsidR="00AC4BE2">
        <w:t xml:space="preserve"> down to below 100 nm</w:t>
      </w:r>
      <w:proofErr w:type="gramStart"/>
      <w:r w:rsidR="00AC4BE2">
        <w:t>.</w:t>
      </w:r>
      <w:r>
        <w:t xml:space="preserve"> </w:t>
      </w:r>
      <w:proofErr w:type="gramEnd"/>
      <w:r>
        <w:t>This produces an exceptionally high surface-area-to-volume ratio that intensifies every other property: chemical reactivity, sintering behavior, filler packing density, and the thinness of functional coatings</w:t>
      </w:r>
      <w:proofErr w:type="gramStart"/>
      <w:r>
        <w:t xml:space="preserve">. </w:t>
      </w:r>
      <w:proofErr w:type="gramEnd"/>
      <w:r>
        <w:t xml:space="preserve">Just as important, sub-100 nm particles flow into spaces that </w:t>
      </w:r>
      <w:proofErr w:type="gramStart"/>
      <w:r>
        <w:t>micron</w:t>
      </w:r>
      <w:proofErr w:type="gramEnd"/>
      <w:r>
        <w:t>-scale fillers physically cannot enter.</w:t>
      </w:r>
    </w:p>
    <w:p w14:paraId="28C0AAFB" w14:textId="77777777" w:rsidR="00C90B48" w:rsidRDefault="00000000">
      <w:r>
        <w:rPr>
          <w:b/>
          <w:bCs/>
        </w:rPr>
        <w:t>Ultra-high purity (4N5, ≥99.995%) with sub-1-ppb radioactivity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>All three products are produced at semiconductor-grade purity</w:t>
      </w:r>
      <w:proofErr w:type="gramStart"/>
      <w:r>
        <w:t xml:space="preserve">. </w:t>
      </w:r>
      <w:proofErr w:type="gramEnd"/>
      <w:r>
        <w:t>Critically, the process achieves uranium and thorium content below one part per billion, which yields the “</w:t>
      </w:r>
      <w:proofErr w:type="gramStart"/>
      <w:r>
        <w:t>low-alpha</w:t>
      </w:r>
      <w:proofErr w:type="gramEnd"/>
      <w:r>
        <w:t xml:space="preserve">” radiation specification (below 0.001 </w:t>
      </w:r>
      <w:proofErr w:type="spellStart"/>
      <w:r>
        <w:t>cph</w:t>
      </w:r>
      <w:proofErr w:type="spellEnd"/>
      <w:r>
        <w:t>/cm²)</w:t>
      </w:r>
      <w:proofErr w:type="gramStart"/>
      <w:r>
        <w:t xml:space="preserve">. </w:t>
      </w:r>
      <w:proofErr w:type="gramEnd"/>
      <w:r>
        <w:t>This matters because stray alpha particles emitted by ordinary packaging materials cause single-event upsets — bit-flip errors that corrupt data in dense AI memory registers</w:t>
      </w:r>
      <w:proofErr w:type="gramStart"/>
      <w:r>
        <w:t xml:space="preserve">. </w:t>
      </w:r>
      <w:proofErr w:type="gramEnd"/>
      <w:r>
        <w:t>NAU’s process meets this specification structurally, as a natural consequence of the reaction chemistry, rather than through additional purification steps.</w:t>
      </w:r>
    </w:p>
    <w:p w14:paraId="026C2180" w14:textId="77777777" w:rsidR="00C90B48" w:rsidRDefault="00000000">
      <w:r>
        <w:t>Beyond these shared traits, the crystal phase determines which dominant property each product brings to market</w:t>
      </w:r>
      <w:proofErr w:type="gramStart"/>
      <w:r>
        <w:t xml:space="preserve">. </w:t>
      </w:r>
      <w:proofErr w:type="gramEnd"/>
      <w:r>
        <w:t>A useful way to picture the family is as a progression: bayerite is the most reactive and highest-surface-area phase; boehmite is the smallest and most fibrous, ideal as a thin thermal barrier; and alpha-alumina is the hardest, most thermally conductive, and most thermally stable</w:t>
      </w:r>
      <w:proofErr w:type="gramStart"/>
      <w:r>
        <w:t xml:space="preserve">. </w:t>
      </w:r>
      <w:proofErr w:type="gramEnd"/>
      <w:r>
        <w:t>The same nanoscale size and 4N5 purity run through all three.</w:t>
      </w:r>
    </w:p>
    <w:p w14:paraId="094DD577" w14:textId="77777777" w:rsidR="00C90B48" w:rsidRDefault="00000000">
      <w:pPr>
        <w:rPr>
          <w:b/>
          <w:bCs/>
          <w:color w:val="2E74B5"/>
          <w:sz w:val="26"/>
          <w:szCs w:val="26"/>
        </w:rPr>
      </w:pPr>
      <w:proofErr w:type="gramStart"/>
      <w:r>
        <w:rPr>
          <w:b/>
          <w:bCs/>
          <w:color w:val="2E74B5"/>
          <w:sz w:val="26"/>
          <w:szCs w:val="26"/>
        </w:rPr>
        <w:t>3.2  Nano</w:t>
      </w:r>
      <w:proofErr w:type="gramEnd"/>
      <w:r>
        <w:rPr>
          <w:b/>
          <w:bCs/>
          <w:color w:val="2E74B5"/>
          <w:sz w:val="26"/>
          <w:szCs w:val="26"/>
        </w:rPr>
        <w:t xml:space="preserve"> Alpha-Alumina (α-</w:t>
      </w:r>
      <w:proofErr w:type="spellStart"/>
      <w:r>
        <w:rPr>
          <w:b/>
          <w:bCs/>
          <w:color w:val="2E74B5"/>
          <w:sz w:val="26"/>
          <w:szCs w:val="26"/>
        </w:rPr>
        <w:t>Al₂O</w:t>
      </w:r>
      <w:proofErr w:type="spellEnd"/>
      <w:r>
        <w:rPr>
          <w:b/>
          <w:bCs/>
          <w:color w:val="2E74B5"/>
          <w:sz w:val="26"/>
          <w:szCs w:val="26"/>
        </w:rPr>
        <w:t>₃) — The Highest-Value Product</w:t>
      </w:r>
    </w:p>
    <w:p w14:paraId="0A02DEEC" w14:textId="77777777" w:rsidR="00C90B48" w:rsidRDefault="00000000">
      <w:r>
        <w:t>Alpha-alumina is the thermodynamically stable corundum phase, produced by calcining bayerite at approximately 1,100°C while retaining sub-100 nm crystal size</w:t>
      </w:r>
      <w:proofErr w:type="gramStart"/>
      <w:r>
        <w:t xml:space="preserve">. </w:t>
      </w:r>
      <w:proofErr w:type="gramEnd"/>
      <w:r>
        <w:t>It is the most commercially valuable of NAU’s three products (target pricing near $135/kg), and its value rests on a distinctive combination of properties:</w:t>
      </w:r>
    </w:p>
    <w:p w14:paraId="2B2EC00B" w14:textId="77777777" w:rsidR="00C90B48" w:rsidRDefault="00000000" w:rsidP="00AC4BE2">
      <w:pPr>
        <w:numPr>
          <w:ilvl w:val="0"/>
          <w:numId w:val="13"/>
        </w:numPr>
      </w:pPr>
      <w:r>
        <w:rPr>
          <w:b/>
          <w:bCs/>
        </w:rPr>
        <w:t>Very high thermal conductivity (~30–36 W/</w:t>
      </w:r>
      <w:proofErr w:type="spellStart"/>
      <w:r>
        <w:rPr>
          <w:b/>
          <w:bCs/>
        </w:rPr>
        <w:t>m·K</w:t>
      </w:r>
      <w:proofErr w:type="spellEnd"/>
      <w:r>
        <w:rPr>
          <w:b/>
          <w:bCs/>
        </w:rPr>
        <w:t>)</w:t>
      </w:r>
      <w:r>
        <w:t xml:space="preserve"> — roughly 20 times that of fused silica (~1.4–1.5 W/</w:t>
      </w:r>
      <w:proofErr w:type="spellStart"/>
      <w:r>
        <w:t>m·K</w:t>
      </w:r>
      <w:proofErr w:type="spellEnd"/>
      <w:r>
        <w:t>)</w:t>
      </w:r>
      <w:proofErr w:type="gramStart"/>
      <w:r>
        <w:t xml:space="preserve">. </w:t>
      </w:r>
      <w:proofErr w:type="gramEnd"/>
      <w:r>
        <w:t>Its crystalline corundum structure transports phonons efficiently, so when used as a filler it moves heat away from processor junctions far faster than the incumbent material, silicon dioxide.</w:t>
      </w:r>
    </w:p>
    <w:p w14:paraId="3B8A390C" w14:textId="77777777" w:rsidR="00C90B48" w:rsidRDefault="00000000" w:rsidP="00AC4BE2">
      <w:pPr>
        <w:numPr>
          <w:ilvl w:val="0"/>
          <w:numId w:val="13"/>
        </w:numPr>
      </w:pPr>
      <w:r>
        <w:rPr>
          <w:b/>
          <w:bCs/>
        </w:rPr>
        <w:t>Extreme hardness (Mohs 9, second only to diamond)</w:t>
      </w:r>
      <w:r>
        <w:t xml:space="preserve"> — making it an aggressive, precise abrasive for chemical-mechanical planarization and a fracture-arresting reinforcement phase in ballistic armor and cutting tools.</w:t>
      </w:r>
    </w:p>
    <w:p w14:paraId="40BB4625" w14:textId="77777777" w:rsidR="00C90B48" w:rsidRDefault="00000000" w:rsidP="00AC4BE2">
      <w:pPr>
        <w:numPr>
          <w:ilvl w:val="0"/>
          <w:numId w:val="13"/>
        </w:numPr>
      </w:pPr>
      <w:r>
        <w:rPr>
          <w:b/>
          <w:bCs/>
        </w:rPr>
        <w:t>Exceptional thermal and dimensional stability (stable past 2,000°C)</w:t>
      </w:r>
      <w:r>
        <w:t xml:space="preserve"> — which lets it eliminate separator shrinkage in batteries and survive the high-energy plasma environments inside semiconductor fabrication equipment.</w:t>
      </w:r>
    </w:p>
    <w:p w14:paraId="6B7EC98A" w14:textId="77777777" w:rsidR="00C90B48" w:rsidRDefault="00000000" w:rsidP="00AC4BE2">
      <w:pPr>
        <w:numPr>
          <w:ilvl w:val="0"/>
          <w:numId w:val="13"/>
        </w:numPr>
      </w:pPr>
      <w:r>
        <w:rPr>
          <w:b/>
          <w:bCs/>
        </w:rPr>
        <w:t xml:space="preserve">Strong electrical insulation (dielectric strength ~15–20 kV/mm; volume resistivity ~10¹⁴ </w:t>
      </w:r>
      <w:proofErr w:type="spellStart"/>
      <w:r>
        <w:rPr>
          <w:b/>
          <w:bCs/>
        </w:rPr>
        <w:t>Ω·cm</w:t>
      </w:r>
      <w:proofErr w:type="spellEnd"/>
      <w:r>
        <w:rPr>
          <w:b/>
          <w:bCs/>
        </w:rPr>
        <w:t>)</w:t>
      </w:r>
      <w:r>
        <w:t xml:space="preserve"> — it conducts heat while blocking electricity, the exact combination a gap filler needs to cool densely packed chips without shorting adjacent circuit paths.</w:t>
      </w:r>
    </w:p>
    <w:p w14:paraId="7A0693A3" w14:textId="77777777" w:rsidR="00C90B48" w:rsidRDefault="00000000" w:rsidP="00AC4BE2">
      <w:pPr>
        <w:numPr>
          <w:ilvl w:val="0"/>
          <w:numId w:val="13"/>
        </w:numPr>
      </w:pPr>
      <w:r>
        <w:rPr>
          <w:b/>
          <w:bCs/>
        </w:rPr>
        <w:t xml:space="preserve">Chemical </w:t>
      </w:r>
      <w:proofErr w:type="gramStart"/>
      <w:r>
        <w:rPr>
          <w:b/>
          <w:bCs/>
        </w:rPr>
        <w:t>inertness</w:t>
      </w:r>
      <w:r>
        <w:t xml:space="preserve"> — it</w:t>
      </w:r>
      <w:proofErr w:type="gramEnd"/>
      <w:r>
        <w:t xml:space="preserve"> resists reactive fluorine and chlorine plasmas far better than quartz, so sintered fab components shed almost no contaminating particulate.</w:t>
      </w:r>
    </w:p>
    <w:p w14:paraId="695AD29E" w14:textId="77777777" w:rsidR="00C90B48" w:rsidRDefault="00000000">
      <w:r>
        <w:lastRenderedPageBreak/>
        <w:t>One genuine engineering trade-off is worth noting: alpha-alumina’s coefficient of thermal expansion (~7.2 ppm/K) is higher than silica’s (~0.5 ppm/K), creating a thermomechanical mismatch with silicon</w:t>
      </w:r>
      <w:proofErr w:type="gramStart"/>
      <w:r>
        <w:t xml:space="preserve">. </w:t>
      </w:r>
      <w:proofErr w:type="gramEnd"/>
      <w:r>
        <w:t>Reducing the filler to nanoscale partially mitigates this, because the high surface area physically restrains expansion of the surrounding polymer matrix.</w:t>
      </w:r>
    </w:p>
    <w:p w14:paraId="5C4EE1B8" w14:textId="77777777" w:rsidR="00C90B48" w:rsidRDefault="00000000">
      <w:r>
        <w:rPr>
          <w:b/>
          <w:bCs/>
        </w:rPr>
        <w:t>Industrial and manufacturing applications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>These properties translate into several distinct end markets:</w:t>
      </w:r>
    </w:p>
    <w:p w14:paraId="59364661" w14:textId="77777777" w:rsidR="00C90B48" w:rsidRDefault="00000000" w:rsidP="000D4A1E">
      <w:pPr>
        <w:numPr>
          <w:ilvl w:val="0"/>
          <w:numId w:val="14"/>
        </w:numPr>
      </w:pPr>
      <w:r>
        <w:rPr>
          <w:b/>
          <w:bCs/>
        </w:rPr>
        <w:t>AI chip packaging and thermal management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>Alpha-alumina replaces fused silica across three structural layers of advanced packages: epoxy molding compounds (the rigid protective shell), capillary and wafer-level underfills (spherical 20–100 nm particles flow into the sub-10-micron gaps of 3D chiplet stacks that micron fillers cannot reach), and thermal interface materials between the die and the heat spreader</w:t>
      </w:r>
      <w:proofErr w:type="gramStart"/>
      <w:r>
        <w:t xml:space="preserve">. </w:t>
      </w:r>
      <w:proofErr w:type="gramEnd"/>
      <w:r>
        <w:t>Bulk composite thermal conductivity rises from 2–3 W/</w:t>
      </w:r>
      <w:proofErr w:type="spellStart"/>
      <w:r>
        <w:t>m·K</w:t>
      </w:r>
      <w:proofErr w:type="spellEnd"/>
      <w:r>
        <w:t xml:space="preserve"> with silica to 12–15 W/</w:t>
      </w:r>
      <w:proofErr w:type="spellStart"/>
      <w:r>
        <w:t>m·K</w:t>
      </w:r>
      <w:proofErr w:type="spellEnd"/>
      <w:r>
        <w:t xml:space="preserve"> with alumina, reducing thermal throttling on 700–1,200 W AI accelerators.</w:t>
      </w:r>
    </w:p>
    <w:p w14:paraId="1236DEB8" w14:textId="77777777" w:rsidR="00C90B48" w:rsidRDefault="00000000" w:rsidP="000D4A1E">
      <w:pPr>
        <w:numPr>
          <w:ilvl w:val="0"/>
          <w:numId w:val="14"/>
        </w:numPr>
      </w:pPr>
      <w:r>
        <w:rPr>
          <w:b/>
          <w:bCs/>
        </w:rPr>
        <w:t>Chemical-mechanical planarization (CMP) slurries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>As logic and memory scale below 3 nm and stack vertically, each layer must be polished to atomic flatness</w:t>
      </w:r>
      <w:proofErr w:type="gramStart"/>
      <w:r>
        <w:t xml:space="preserve">. </w:t>
      </w:r>
      <w:proofErr w:type="gramEnd"/>
      <w:r>
        <w:t>Alpha-alumina’s superior hardness delivers higher material-removal rates on hard substrates — silicon carbide, gallium nitride, and sapphire — while monodisperse nanospheres polish to sub-nanometer roughness without micro-scratching or subsurface damage.</w:t>
      </w:r>
    </w:p>
    <w:p w14:paraId="5E0AE666" w14:textId="77777777" w:rsidR="00C90B48" w:rsidRDefault="00000000" w:rsidP="000D4A1E">
      <w:pPr>
        <w:numPr>
          <w:ilvl w:val="0"/>
          <w:numId w:val="14"/>
        </w:numPr>
      </w:pPr>
      <w:r>
        <w:rPr>
          <w:b/>
          <w:bCs/>
        </w:rPr>
        <w:t>Semiconductor fab equipment and plasma-etch components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>Sintered into dense, non-porous parts — wafer chucks, robotic handling arms, dielectric liners, and gas diffusion plates — its chemical inertness and diamond-like hardness resist reactive halogen plasmas and minimize particulate shedding, protecting wafer yields at sub-5 nm nodes.</w:t>
      </w:r>
    </w:p>
    <w:p w14:paraId="6335C1AD" w14:textId="77777777" w:rsidR="00C90B48" w:rsidRDefault="00000000" w:rsidP="000D4A1E">
      <w:pPr>
        <w:numPr>
          <w:ilvl w:val="0"/>
          <w:numId w:val="14"/>
        </w:numPr>
      </w:pPr>
      <w:r>
        <w:rPr>
          <w:b/>
          <w:bCs/>
        </w:rPr>
        <w:t>LED manufacturing and synthetic sapphire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 xml:space="preserve">As the feedstock for growing single-crystal sapphire (via the </w:t>
      </w:r>
      <w:proofErr w:type="spellStart"/>
      <w:r>
        <w:t>Kyropoulos</w:t>
      </w:r>
      <w:proofErr w:type="spellEnd"/>
      <w:r>
        <w:t xml:space="preserve"> and Verneuil processes), 4N5–5N purity eliminates the trace iron, chromium, and silica impurities that cause optical clouding, dislocations, and color tinting</w:t>
      </w:r>
      <w:proofErr w:type="gramStart"/>
      <w:r>
        <w:t xml:space="preserve">. </w:t>
      </w:r>
      <w:proofErr w:type="gramEnd"/>
      <w:r>
        <w:t xml:space="preserve">The resulting sapphire serves high-brightness LED substrates, </w:t>
      </w:r>
      <w:proofErr w:type="spellStart"/>
      <w:r>
        <w:t>GaN</w:t>
      </w:r>
      <w:proofErr w:type="spellEnd"/>
      <w:r>
        <w:t>-on-sapphire power electronics, Micro-LED displays, smartphone camera lenses, and premium watch crystals</w:t>
      </w:r>
      <w:proofErr w:type="gramStart"/>
      <w:r>
        <w:t xml:space="preserve">. </w:t>
      </w:r>
      <w:proofErr w:type="gramEnd"/>
      <w:r>
        <w:t>Historically this has been the single largest volume application for high-purity alumina.</w:t>
      </w:r>
    </w:p>
    <w:p w14:paraId="2053F5E6" w14:textId="77777777" w:rsidR="00C90B48" w:rsidRDefault="00000000" w:rsidP="000D4A1E">
      <w:pPr>
        <w:numPr>
          <w:ilvl w:val="0"/>
          <w:numId w:val="14"/>
        </w:numPr>
      </w:pPr>
      <w:r>
        <w:rPr>
          <w:b/>
          <w:bCs/>
        </w:rPr>
        <w:t>Defense, aerospace, and structural ceramics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>Dispersed as a nano-grain reinforcement phase, alpha-alumina arrests micro-fracture propagation, producing ultra-hard nanocomposites for ballistic armor plate, deep-well drill bits, and industrial cutting tools</w:t>
      </w:r>
      <w:proofErr w:type="gramStart"/>
      <w:r>
        <w:t xml:space="preserve">. </w:t>
      </w:r>
      <w:proofErr w:type="gramEnd"/>
      <w:r>
        <w:t>Its purity and fracture toughness also serve transparent armor, missile radomes, radar windows, and high-power laser optics — long-term, specification-locked programs for defense primes such as Boeing, Lockheed Martin, Northrop Grumman, and Raytheon.</w:t>
      </w:r>
    </w:p>
    <w:p w14:paraId="500D292F" w14:textId="77777777" w:rsidR="00C90B48" w:rsidRDefault="00000000">
      <w:pPr>
        <w:rPr>
          <w:b/>
          <w:bCs/>
          <w:color w:val="2E74B5"/>
          <w:sz w:val="26"/>
          <w:szCs w:val="26"/>
        </w:rPr>
      </w:pPr>
      <w:proofErr w:type="gramStart"/>
      <w:r>
        <w:rPr>
          <w:b/>
          <w:bCs/>
          <w:color w:val="2E74B5"/>
          <w:sz w:val="26"/>
          <w:szCs w:val="26"/>
        </w:rPr>
        <w:t>3.3  Nano</w:t>
      </w:r>
      <w:proofErr w:type="gramEnd"/>
      <w:r>
        <w:rPr>
          <w:b/>
          <w:bCs/>
          <w:color w:val="2E74B5"/>
          <w:sz w:val="26"/>
          <w:szCs w:val="26"/>
        </w:rPr>
        <w:t xml:space="preserve"> Boehmite (</w:t>
      </w:r>
      <w:proofErr w:type="spellStart"/>
      <w:proofErr w:type="gramStart"/>
      <w:r>
        <w:rPr>
          <w:b/>
          <w:bCs/>
          <w:color w:val="2E74B5"/>
          <w:sz w:val="26"/>
          <w:szCs w:val="26"/>
        </w:rPr>
        <w:t>AlO</w:t>
      </w:r>
      <w:proofErr w:type="spellEnd"/>
      <w:r>
        <w:rPr>
          <w:b/>
          <w:bCs/>
          <w:color w:val="2E74B5"/>
          <w:sz w:val="26"/>
          <w:szCs w:val="26"/>
        </w:rPr>
        <w:t>(</w:t>
      </w:r>
      <w:proofErr w:type="gramEnd"/>
      <w:r>
        <w:rPr>
          <w:b/>
          <w:bCs/>
          <w:color w:val="2E74B5"/>
          <w:sz w:val="26"/>
          <w:szCs w:val="26"/>
        </w:rPr>
        <w:t>OH</w:t>
      </w:r>
      <w:proofErr w:type="gramStart"/>
      <w:r>
        <w:rPr>
          <w:b/>
          <w:bCs/>
          <w:color w:val="2E74B5"/>
          <w:sz w:val="26"/>
          <w:szCs w:val="26"/>
        </w:rPr>
        <w:t>)) —</w:t>
      </w:r>
      <w:proofErr w:type="gramEnd"/>
      <w:r>
        <w:rPr>
          <w:b/>
          <w:bCs/>
          <w:color w:val="2E74B5"/>
          <w:sz w:val="26"/>
          <w:szCs w:val="26"/>
        </w:rPr>
        <w:t xml:space="preserve"> The Battery-Safety Material</w:t>
      </w:r>
    </w:p>
    <w:p w14:paraId="23F1C57F" w14:textId="77777777" w:rsidR="00C90B48" w:rsidRDefault="00000000">
      <w:r>
        <w:t>Boehmite is the aluminum oxyhydroxide phase, produced by hydrothermally conditioning freshly prepared bayerite in an autoclave at 150–200°</w:t>
      </w:r>
      <w:proofErr w:type="gramStart"/>
      <w:r>
        <w:t xml:space="preserve">C. </w:t>
      </w:r>
      <w:proofErr w:type="gramEnd"/>
      <w:r>
        <w:t>The transformation reduces crystal size to below 50 nm — the smallest of the three products — and changes the morphology to a fibrous, high-surface-area form</w:t>
      </w:r>
      <w:proofErr w:type="gramStart"/>
      <w:r>
        <w:t xml:space="preserve">. </w:t>
      </w:r>
      <w:proofErr w:type="gramEnd"/>
      <w:r>
        <w:t xml:space="preserve">Two properties define its commercial value: </w:t>
      </w:r>
      <w:proofErr w:type="spellStart"/>
      <w:r>
        <w:t>its</w:t>
      </w:r>
      <w:proofErr w:type="spellEnd"/>
      <w:r>
        <w:t xml:space="preserve"> very small, fibrous particle geometry, and a hardness lower than alpha-alumina.</w:t>
      </w:r>
    </w:p>
    <w:p w14:paraId="0D324F50" w14:textId="77777777" w:rsidR="00C90B48" w:rsidRDefault="00000000">
      <w:r>
        <w:rPr>
          <w:b/>
          <w:bCs/>
        </w:rPr>
        <w:t>Industrial and manufacturing applications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>Nano boehmite’s primary use is as a thermal-barrier coating on lithium-ion battery separator membranes</w:t>
      </w:r>
      <w:proofErr w:type="gramStart"/>
      <w:r>
        <w:t xml:space="preserve">. </w:t>
      </w:r>
      <w:proofErr w:type="gramEnd"/>
      <w:r>
        <w:t xml:space="preserve">A sub-2-micron coating preserves separator integrity up to roughly 400°C — far above the 130–170°C at which uncoated polyolefin films begin to shrink and melt — preventing the separator collapse that triggers catastrophic </w:t>
      </w:r>
      <w:r>
        <w:lastRenderedPageBreak/>
        <w:t>thermal runaway</w:t>
      </w:r>
      <w:proofErr w:type="gramStart"/>
      <w:r>
        <w:t xml:space="preserve">. </w:t>
      </w:r>
      <w:proofErr w:type="gramEnd"/>
      <w:r>
        <w:t>Because the coating is so thin, it adds this safety margin without sacrificing the gravimetric energy density required by high-nickel cathode chemistries</w:t>
      </w:r>
      <w:proofErr w:type="gramStart"/>
      <w:r>
        <w:t xml:space="preserve">. </w:t>
      </w:r>
      <w:proofErr w:type="gramEnd"/>
      <w:r>
        <w:t>Its lower hardness is an asset here as well: it causes less abrasive wear on the high-speed winding equipment used in gigafactories, lowering cell manufacturing costs</w:t>
      </w:r>
      <w:proofErr w:type="gramStart"/>
      <w:r>
        <w:t xml:space="preserve">. </w:t>
      </w:r>
      <w:proofErr w:type="gramEnd"/>
      <w:r>
        <w:t>This segment is among the fastest-growing in advanced materials, with published forecasts placing boehmite-for-separator growth at roughly 23% CAGR (and as high as ~29% in the most bullish studies) into the early 2030s as EV and grid-storage battery production scales</w:t>
      </w:r>
      <w:proofErr w:type="gramStart"/>
      <w:r>
        <w:t xml:space="preserve">. </w:t>
      </w:r>
      <w:proofErr w:type="gramEnd"/>
      <w:r>
        <w:t xml:space="preserve">Boehmite is also used as a precursor to transition </w:t>
      </w:r>
      <w:proofErr w:type="spellStart"/>
      <w:r>
        <w:t>aluminas</w:t>
      </w:r>
      <w:proofErr w:type="spellEnd"/>
      <w:r>
        <w:t>, as a catalyst support, and in flame-retardant polymer formulations.</w:t>
      </w:r>
    </w:p>
    <w:p w14:paraId="5E19700D" w14:textId="77777777" w:rsidR="00C90B48" w:rsidRDefault="00000000">
      <w:pPr>
        <w:rPr>
          <w:b/>
          <w:bCs/>
          <w:color w:val="2E74B5"/>
          <w:sz w:val="26"/>
          <w:szCs w:val="26"/>
        </w:rPr>
      </w:pPr>
      <w:proofErr w:type="gramStart"/>
      <w:r>
        <w:rPr>
          <w:b/>
          <w:bCs/>
          <w:color w:val="2E74B5"/>
          <w:sz w:val="26"/>
          <w:szCs w:val="26"/>
        </w:rPr>
        <w:t>3.4  Nano</w:t>
      </w:r>
      <w:proofErr w:type="gramEnd"/>
      <w:r>
        <w:rPr>
          <w:b/>
          <w:bCs/>
          <w:color w:val="2E74B5"/>
          <w:sz w:val="26"/>
          <w:szCs w:val="26"/>
        </w:rPr>
        <w:t xml:space="preserve"> Bayerite (</w:t>
      </w:r>
      <w:proofErr w:type="gramStart"/>
      <w:r>
        <w:rPr>
          <w:b/>
          <w:bCs/>
          <w:color w:val="2E74B5"/>
          <w:sz w:val="26"/>
          <w:szCs w:val="26"/>
        </w:rPr>
        <w:t>Al(</w:t>
      </w:r>
      <w:proofErr w:type="gramEnd"/>
      <w:r>
        <w:rPr>
          <w:b/>
          <w:bCs/>
          <w:color w:val="2E74B5"/>
          <w:sz w:val="26"/>
          <w:szCs w:val="26"/>
        </w:rPr>
        <w:t>OH)₃) — The Reactive Precursor</w:t>
      </w:r>
    </w:p>
    <w:p w14:paraId="10EC8136" w14:textId="77777777" w:rsidR="00C90B48" w:rsidRDefault="00000000">
      <w:r>
        <w:t xml:space="preserve">Bayerite is the aluminum </w:t>
      </w:r>
      <w:proofErr w:type="spellStart"/>
      <w:r>
        <w:t>trihydroxide</w:t>
      </w:r>
      <w:proofErr w:type="spellEnd"/>
      <w:r>
        <w:t xml:space="preserve"> phase and the native, least-processed output of the reactor — the slurry is simply filtered, washed, dried, and packaged under nitrogen</w:t>
      </w:r>
      <w:proofErr w:type="gramStart"/>
      <w:r>
        <w:t xml:space="preserve">. </w:t>
      </w:r>
      <w:proofErr w:type="gramEnd"/>
      <w:r>
        <w:t xml:space="preserve">Its commercial value comes almost entirely from exceptionally high surface area and chemical reactivity that </w:t>
      </w:r>
      <w:proofErr w:type="gramStart"/>
      <w:r>
        <w:t>micron</w:t>
      </w:r>
      <w:proofErr w:type="gramEnd"/>
      <w:r>
        <w:t>-grain equivalents cannot achieve</w:t>
      </w:r>
      <w:proofErr w:type="gramStart"/>
      <w:r>
        <w:t xml:space="preserve">. </w:t>
      </w:r>
      <w:proofErr w:type="gramEnd"/>
      <w:r>
        <w:t>Because it is withdrawn directly before calcination, it is produced at the same low cost as the other two products, well below what specialty-route bayerite producers incur.</w:t>
      </w:r>
    </w:p>
    <w:p w14:paraId="5C25A9F7" w14:textId="77777777" w:rsidR="00C90B48" w:rsidRDefault="00000000">
      <w:r>
        <w:rPr>
          <w:b/>
          <w:bCs/>
        </w:rPr>
        <w:t>Industrial and manufacturing applications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 xml:space="preserve">Nano bayerite serves as an abrasive precursor for CMP slurries, a high-surface-area catalyst carrier, and the preferred precursor for ultra-pure transition </w:t>
      </w:r>
      <w:proofErr w:type="spellStart"/>
      <w:r>
        <w:t>aluminas</w:t>
      </w:r>
      <w:proofErr w:type="spellEnd"/>
      <w:r>
        <w:t xml:space="preserve"> and quantum-grade specialty ceramics used in aerospace and microelectronics</w:t>
      </w:r>
      <w:proofErr w:type="gramStart"/>
      <w:r>
        <w:t xml:space="preserve">. </w:t>
      </w:r>
      <w:proofErr w:type="gramEnd"/>
      <w:r>
        <w:t xml:space="preserve">It is also a flexible upstream feedstock: it is the parent phase from which both boehmite and </w:t>
      </w:r>
      <w:proofErr w:type="gramStart"/>
      <w:r>
        <w:t>alpha-alumina</w:t>
      </w:r>
      <w:proofErr w:type="gramEnd"/>
      <w:r>
        <w:t xml:space="preserve"> are produced, and it feeds advanced flame-retardant polymer formulations</w:t>
      </w:r>
      <w:proofErr w:type="gramStart"/>
      <w:r>
        <w:t xml:space="preserve">. </w:t>
      </w:r>
      <w:proofErr w:type="gramEnd"/>
      <w:r>
        <w:t>Because most global bayerite supply is contract-to-order in small volumes, a consistent, ISO-certified domestic 4N5 source would be a novel and immediately valuable supply-chain partner for defense, aerospace, and advanced-ceramics customers.</w:t>
      </w:r>
    </w:p>
    <w:p w14:paraId="2BF64F29" w14:textId="77777777" w:rsidR="00C90B48" w:rsidRDefault="00000000">
      <w:pPr>
        <w:rPr>
          <w:b/>
          <w:bCs/>
          <w:color w:val="2E74B5"/>
          <w:sz w:val="26"/>
          <w:szCs w:val="26"/>
        </w:rPr>
      </w:pPr>
      <w:proofErr w:type="gramStart"/>
      <w:r>
        <w:rPr>
          <w:b/>
          <w:bCs/>
          <w:color w:val="2E74B5"/>
          <w:sz w:val="26"/>
          <w:szCs w:val="26"/>
        </w:rPr>
        <w:t>3.5  Why</w:t>
      </w:r>
      <w:proofErr w:type="gramEnd"/>
      <w:r>
        <w:rPr>
          <w:b/>
          <w:bCs/>
          <w:color w:val="2E74B5"/>
          <w:sz w:val="26"/>
          <w:szCs w:val="26"/>
        </w:rPr>
        <w:t xml:space="preserve"> the Multi-Product Platform Matters to Investors</w:t>
      </w:r>
    </w:p>
    <w:p w14:paraId="234796FC" w14:textId="77777777" w:rsidR="00C90B48" w:rsidRDefault="00000000">
      <w:r>
        <w:t xml:space="preserve">Because all three products emerge from one reactor stream, NAU can shift its output mix toward whichever market is strongest without rebuilding capacity </w:t>
      </w:r>
      <w:proofErr w:type="gramStart"/>
      <w:r>
        <w:t>— alpha</w:t>
      </w:r>
      <w:proofErr w:type="gramEnd"/>
      <w:r>
        <w:t>-alumina for AI packaging and CMP, boehmite for battery separators, bayerite for catalysts and specialty ceramics</w:t>
      </w:r>
      <w:proofErr w:type="gramStart"/>
      <w:r>
        <w:t xml:space="preserve">. </w:t>
      </w:r>
      <w:proofErr w:type="gramEnd"/>
      <w:r>
        <w:t>This diversification spreads revenue across the highest-value segments of the high-purity alumina market while reducing concentration risk in any single end market, and it does so from a cost base set by a single, shared production process.</w:t>
      </w:r>
    </w:p>
    <w:p w14:paraId="0C781924" w14:textId="77777777" w:rsidR="00A85D8A" w:rsidRPr="00736537" w:rsidRDefault="00000000" w:rsidP="00736537">
      <w:pPr>
        <w:pStyle w:val="Heading1"/>
      </w:pPr>
      <w:r>
        <w:t>4</w:t>
      </w:r>
      <w:proofErr w:type="gramStart"/>
      <w:r>
        <w:t>.  The</w:t>
      </w:r>
      <w:proofErr w:type="gramEnd"/>
      <w:r>
        <w:t xml:space="preserve"> AI Data-Center Build-Out Will Pull NAU’s Materials Into Demand</w:t>
      </w:r>
    </w:p>
    <w:p w14:paraId="76693A83" w14:textId="77777777" w:rsidR="00D36A59" w:rsidRPr="003C34BB" w:rsidRDefault="00D36A59" w:rsidP="00E3713F">
      <w:r>
        <w:t>The AI data-center build-out is important to NAU because it is turning compute demand into a physical-infrastructure challenge</w:t>
      </w:r>
      <w:proofErr w:type="gramStart"/>
      <w:r>
        <w:t xml:space="preserve">. </w:t>
      </w:r>
      <w:proofErr w:type="gramEnd"/>
      <w:r>
        <w:t>As compute density rises, so do requirements for power delivery, thermal management, substrate performance, and contamination control — all areas in which high-purity alumina-based materials are relevant</w:t>
      </w:r>
      <w:proofErr w:type="gramStart"/>
      <w:r>
        <w:t xml:space="preserve">. </w:t>
      </w:r>
      <w:proofErr w:type="gramEnd"/>
      <w:r>
        <w:t>In that sense, the AI race is not only a software contest; it is increasingly a materials and infrastructure contest as well.</w:t>
      </w:r>
    </w:p>
    <w:p w14:paraId="3DF6BBE3" w14:textId="77777777" w:rsidR="00D36A59" w:rsidRDefault="00D36A59" w:rsidP="00D36A59">
      <w:pPr>
        <w:pStyle w:val="ListParagraph"/>
        <w:rPr>
          <w:kern w:val="2"/>
          <w14:ligatures w14:val="standardContextual"/>
        </w:rPr>
      </w:pPr>
      <w:r>
        <w:rPr>
          <w:b/>
          <w:bCs/>
        </w:rPr>
        <w:t>Chip packaging and thermal management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>Advanced processors generate concentrated heat loads, increasing demand for materials that combine thermal performance, electrical insulation, and impurity control.</w:t>
      </w:r>
    </w:p>
    <w:p w14:paraId="3D92B687" w14:textId="77777777" w:rsidR="00D36A59" w:rsidRDefault="00D36A59" w:rsidP="00D36A59">
      <w:pPr>
        <w:pStyle w:val="ListParagraph"/>
      </w:pPr>
      <w:r>
        <w:rPr>
          <w:b/>
          <w:bCs/>
        </w:rPr>
        <w:t>CMP and wafer processing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>Every advanced chip requires repeated planarization steps, which creates recurring demand for high-purity abrasive materials used in CMP slurries as wafer volumes scale.</w:t>
      </w:r>
    </w:p>
    <w:p w14:paraId="40712253" w14:textId="77777777" w:rsidR="00D36A59" w:rsidRDefault="00D36A59" w:rsidP="00D36A59">
      <w:pPr>
        <w:pStyle w:val="ListParagraph"/>
      </w:pPr>
      <w:r>
        <w:rPr>
          <w:b/>
          <w:bCs/>
        </w:rPr>
        <w:lastRenderedPageBreak/>
        <w:t>Battery-backed infrastructure</w:t>
      </w:r>
      <w:proofErr w:type="gramStart"/>
      <w:r>
        <w:rPr>
          <w:b/>
          <w:bCs/>
        </w:rPr>
        <w:t>.</w:t>
      </w:r>
      <w:r>
        <w:t xml:space="preserve"> </w:t>
      </w:r>
      <w:proofErr w:type="gramEnd"/>
      <w:r>
        <w:t>Data centers and grid-balancing systems require substantial stationary storage, reinforcing demand for separator-coating materials that improve lithium-ion battery safety and durability.</w:t>
      </w:r>
    </w:p>
    <w:p w14:paraId="4F3E965B" w14:textId="77777777" w:rsidR="00D36A59" w:rsidRPr="003C34BB" w:rsidRDefault="00D36A59">
      <w:pPr>
        <w:spacing w:before="240"/>
      </w:pPr>
      <w:r>
        <w:t>The demand signal, moreover, is not simply for alumina in the abstract</w:t>
      </w:r>
      <w:proofErr w:type="gramStart"/>
      <w:r>
        <w:t xml:space="preserve">. </w:t>
      </w:r>
      <w:proofErr w:type="gramEnd"/>
      <w:r>
        <w:t>It is for ultra-pure, particle-controlled, contamination-sensitive material that can be qualified for advanced applications and sourced from reliable domestic suppliers</w:t>
      </w:r>
      <w:proofErr w:type="gramStart"/>
      <w:r>
        <w:t xml:space="preserve">. </w:t>
      </w:r>
      <w:proofErr w:type="gramEnd"/>
      <w:r>
        <w:t xml:space="preserve">If NAU can meet those technical and commercial requirements, it could occupy an attractive position in a market where performance, security of supply, and sustainability </w:t>
      </w:r>
      <w:proofErr w:type="gramStart"/>
      <w:r>
        <w:t>increasingly intersect</w:t>
      </w:r>
      <w:proofErr w:type="gramEnd"/>
      <w:r>
        <w:t>.</w:t>
      </w:r>
    </w:p>
    <w:p w14:paraId="2F1AF07C" w14:textId="77777777" w:rsidR="00A85D8A" w:rsidRPr="00736537" w:rsidRDefault="00000000" w:rsidP="003C34BB">
      <w:pPr>
        <w:pStyle w:val="Heading1"/>
      </w:pPr>
      <w:r>
        <w:t>The Investment Case, in Sum</w:t>
      </w:r>
    </w:p>
    <w:p w14:paraId="37888D34" w14:textId="77777777" w:rsidR="009618FE" w:rsidRPr="009618FE" w:rsidRDefault="009618FE" w:rsidP="009618FE">
      <w:r>
        <w:t>The investment case for NAU rests on three premises:</w:t>
      </w:r>
    </w:p>
    <w:p w14:paraId="0C9DDAA9" w14:textId="77777777" w:rsidR="009618FE" w:rsidRPr="00B47D66" w:rsidRDefault="009618FE" w:rsidP="009618FE">
      <w:pPr>
        <w:numPr>
          <w:ilvl w:val="0"/>
          <w:numId w:val="10"/>
        </w:numPr>
      </w:pPr>
      <w:r>
        <w:t>Nano-grade 4N5 HPA demand will expand rapidly over the next decade as AI chip packaging, sub-3nm semiconductor nodes, and EV battery production all require this specific material.</w:t>
      </w:r>
    </w:p>
    <w:p w14:paraId="1EDA45E9" w14:textId="77777777" w:rsidR="009618FE" w:rsidRPr="00B47D66" w:rsidRDefault="009618FE" w:rsidP="009618FE">
      <w:pPr>
        <w:numPr>
          <w:ilvl w:val="0"/>
          <w:numId w:val="10"/>
        </w:numPr>
      </w:pPr>
      <w:r>
        <w:t>Domestic U.S. supply chains will increasingly displace Asian imports, supported by the CHIPS Act, IRA 45X credits, and DoD procurement policy.</w:t>
      </w:r>
    </w:p>
    <w:p w14:paraId="36B8BE2F" w14:textId="77777777" w:rsidR="009618FE" w:rsidRPr="00B47D66" w:rsidRDefault="009618FE" w:rsidP="009618FE">
      <w:pPr>
        <w:numPr>
          <w:ilvl w:val="0"/>
          <w:numId w:val="10"/>
        </w:numPr>
      </w:pPr>
      <w:r>
        <w:t>NAU's gallium-catalyzed process, licensed from UC Santa Cruz, can be successfully commercialized at industrial scale, yielding among the highest EBITDA margins in the advanced materials sector.</w:t>
      </w:r>
    </w:p>
    <w:p w14:paraId="6864CFF0" w14:textId="77777777" w:rsidR="009618FE" w:rsidRDefault="00D36A59" w:rsidP="008C1A4F">
      <w:r>
        <w:t xml:space="preserve">In sum, NAU offers exposure to a compelling combination: a differentiated production approach; products tied to strategic, technically demanding end markets; potential demand </w:t>
      </w:r>
      <w:proofErr w:type="gramStart"/>
      <w:r>
        <w:t>pull</w:t>
      </w:r>
      <w:proofErr w:type="gramEnd"/>
      <w:r>
        <w:t xml:space="preserve"> from AI infrastructure, batteries, and semiconductor manufacturing; and strong alignment with reshoring, resilience, and critical-material policy priorities. </w:t>
      </w:r>
    </w:p>
    <w:p w14:paraId="7E8A133C" w14:textId="77777777" w:rsidR="00D36A59" w:rsidRPr="003C34BB" w:rsidRDefault="00D36A59" w:rsidP="008C1A4F">
      <w:r>
        <w:t>For investors, the opportunity is not to back a commodity producer, but to back a specialized domestic materials platform that could become increasingly valuable as advanced manufacturing as AI infrastructure continues to scale.</w:t>
      </w:r>
    </w:p>
    <w:p w14:paraId="1210D7F7" w14:textId="77777777" w:rsidR="003C34BB" w:rsidRPr="007A020D" w:rsidRDefault="003C34BB" w:rsidP="00CD4067">
      <w:pPr>
        <w:pBdr>
          <w:bottom w:val="single" w:sz="4" w:space="1" w:color="auto"/>
        </w:pBdr>
      </w:pPr>
    </w:p>
    <w:p w14:paraId="2B39D940" w14:textId="77777777" w:rsidR="00D36A59" w:rsidRDefault="00D36A59" w:rsidP="00DC3F10">
      <w:pPr>
        <w:rPr>
          <w:i/>
          <w:iCs/>
        </w:rPr>
      </w:pPr>
      <w:r>
        <w:rPr>
          <w:i/>
        </w:rPr>
        <w:t xml:space="preserve">This document is </w:t>
      </w:r>
      <w:r>
        <w:rPr>
          <w:i/>
          <w:iCs/>
        </w:rPr>
        <w:t xml:space="preserve">provided </w:t>
      </w:r>
      <w:r>
        <w:rPr>
          <w:i/>
        </w:rPr>
        <w:t xml:space="preserve">for informational purposes only </w:t>
      </w:r>
      <w:r>
        <w:rPr>
          <w:i/>
          <w:iCs/>
        </w:rPr>
        <w:t>to</w:t>
      </w:r>
      <w:r>
        <w:rPr>
          <w:i/>
        </w:rPr>
        <w:t xml:space="preserve"> accredited investors with a pre-existing relationship with NAU</w:t>
      </w:r>
      <w:proofErr w:type="gramStart"/>
      <w:r>
        <w:rPr>
          <w:i/>
        </w:rPr>
        <w:t xml:space="preserve">. </w:t>
      </w:r>
      <w:proofErr w:type="gramEnd"/>
      <w:r>
        <w:rPr>
          <w:i/>
        </w:rPr>
        <w:t xml:space="preserve">It </w:t>
      </w:r>
      <w:r>
        <w:rPr>
          <w:i/>
          <w:iCs/>
        </w:rPr>
        <w:t>does</w:t>
      </w:r>
      <w:r>
        <w:rPr>
          <w:i/>
        </w:rPr>
        <w:t xml:space="preserve"> not </w:t>
      </w:r>
      <w:r>
        <w:rPr>
          <w:i/>
          <w:iCs/>
        </w:rPr>
        <w:t xml:space="preserve">constitute </w:t>
      </w:r>
      <w:r>
        <w:rPr>
          <w:i/>
        </w:rPr>
        <w:t xml:space="preserve">an offer to sell or a solicitation </w:t>
      </w:r>
      <w:r>
        <w:rPr>
          <w:i/>
          <w:iCs/>
        </w:rPr>
        <w:t xml:space="preserve">of an offer </w:t>
      </w:r>
      <w:r>
        <w:rPr>
          <w:i/>
        </w:rPr>
        <w:t>to buy any security</w:t>
      </w:r>
      <w:proofErr w:type="gramStart"/>
      <w:r>
        <w:rPr>
          <w:i/>
          <w:iCs/>
        </w:rPr>
        <w:t xml:space="preserve">. </w:t>
      </w:r>
      <w:proofErr w:type="gramEnd"/>
      <w:r>
        <w:rPr>
          <w:i/>
          <w:iCs/>
        </w:rPr>
        <w:t xml:space="preserve">Certain statements herein are </w:t>
      </w:r>
      <w:r>
        <w:rPr>
          <w:i/>
        </w:rPr>
        <w:t xml:space="preserve">forward-looking </w:t>
      </w:r>
      <w:r>
        <w:rPr>
          <w:i/>
          <w:iCs/>
        </w:rPr>
        <w:t xml:space="preserve">and </w:t>
      </w:r>
      <w:r>
        <w:rPr>
          <w:i/>
        </w:rPr>
        <w:t xml:space="preserve">subject to </w:t>
      </w:r>
      <w:r>
        <w:rPr>
          <w:i/>
          <w:iCs/>
        </w:rPr>
        <w:t>risks, uncertainties, and assumptions</w:t>
      </w:r>
      <w:proofErr w:type="gramStart"/>
      <w:r>
        <w:rPr>
          <w:i/>
          <w:iCs/>
        </w:rPr>
        <w:t xml:space="preserve">. </w:t>
      </w:r>
      <w:proofErr w:type="gramEnd"/>
      <w:r>
        <w:rPr>
          <w:i/>
          <w:iCs/>
        </w:rPr>
        <w:t>References to</w:t>
      </w:r>
      <w:r>
        <w:rPr>
          <w:i/>
        </w:rPr>
        <w:t xml:space="preserve"> third-party </w:t>
      </w:r>
      <w:r>
        <w:rPr>
          <w:i/>
          <w:iCs/>
        </w:rPr>
        <w:t>companies, transactions, policy developments, or market data</w:t>
      </w:r>
      <w:r>
        <w:rPr>
          <w:i/>
        </w:rPr>
        <w:t xml:space="preserve"> are </w:t>
      </w:r>
      <w:r>
        <w:rPr>
          <w:i/>
          <w:iCs/>
        </w:rPr>
        <w:t>included for context only, are based in part on public sources</w:t>
      </w:r>
      <w:r>
        <w:rPr>
          <w:i/>
        </w:rPr>
        <w:t>, and have not been independently verified</w:t>
      </w:r>
      <w:r>
        <w:rPr>
          <w:i/>
          <w:iCs/>
        </w:rPr>
        <w:t xml:space="preserve"> by NAU</w:t>
      </w:r>
      <w:proofErr w:type="gramStart"/>
      <w:r>
        <w:rPr>
          <w:i/>
          <w:iCs/>
        </w:rPr>
        <w:t xml:space="preserve">. </w:t>
      </w:r>
      <w:proofErr w:type="gramEnd"/>
      <w:r>
        <w:rPr>
          <w:i/>
          <w:iCs/>
        </w:rPr>
        <w:t>Any investment decision should be based solely on definitive offering materials and the advice of the recipient’s own legal, tax, and financial advisors.</w:t>
      </w:r>
    </w:p>
    <w:p w14:paraId="4E3C31B2" w14:textId="77777777" w:rsidR="00D36A59" w:rsidRPr="007419DA" w:rsidRDefault="007419DA" w:rsidP="007419DA">
      <w:pPr>
        <w:jc w:val="center"/>
        <w:rPr>
          <w:b/>
          <w:bCs/>
        </w:rPr>
      </w:pPr>
      <w:r>
        <w:rPr>
          <w:b/>
          <w:bCs/>
        </w:rPr>
        <w:t>For more information:</w:t>
      </w:r>
    </w:p>
    <w:p w14:paraId="764B53A6" w14:textId="77777777" w:rsidR="007419DA" w:rsidRDefault="007419DA" w:rsidP="007419DA">
      <w:pPr>
        <w:jc w:val="center"/>
      </w:pPr>
      <w:r>
        <w:t>Jack Steinhauser</w:t>
      </w:r>
    </w:p>
    <w:p w14:paraId="42D50D47" w14:textId="77777777" w:rsidR="007419DA" w:rsidRDefault="007419DA" w:rsidP="007419DA">
      <w:pPr>
        <w:jc w:val="center"/>
      </w:pPr>
      <w:hyperlink r:id="rId8" w:history="1">
        <w:r>
          <w:rPr>
            <w:rStyle w:val="Hyperlink"/>
          </w:rPr>
          <w:t>JackSteinhauser@HSEAI.com</w:t>
        </w:r>
      </w:hyperlink>
    </w:p>
    <w:p w14:paraId="026B2DF2" w14:textId="77777777" w:rsidR="007419DA" w:rsidRPr="003C34BB" w:rsidRDefault="007419DA" w:rsidP="007419DA">
      <w:pPr>
        <w:jc w:val="center"/>
      </w:pPr>
      <w:r>
        <w:t>303-324-5054 Cell and WhatsApp</w:t>
      </w:r>
    </w:p>
    <w:sectPr w:rsidR="007419DA" w:rsidRPr="003C34BB" w:rsidSect="00102910">
      <w:headerReference w:type="default" r:id="rId9"/>
      <w:footerReference w:type="default" r:id="rId10"/>
      <w:pgSz w:w="12240" w:h="15840"/>
      <w:pgMar w:top="1440" w:right="1440" w:bottom="162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86025" w14:textId="77777777" w:rsidR="009C59A3" w:rsidRDefault="009C59A3" w:rsidP="003C34BB">
      <w:r>
        <w:separator/>
      </w:r>
    </w:p>
  </w:endnote>
  <w:endnote w:type="continuationSeparator" w:id="0">
    <w:p w14:paraId="7F21DC88" w14:textId="77777777" w:rsidR="009C59A3" w:rsidRDefault="009C59A3" w:rsidP="003C3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630235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0DC84C1" w14:textId="77777777" w:rsidR="003C34BB" w:rsidRDefault="003C34BB" w:rsidP="003C34B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6DD9C6E" w14:textId="77777777" w:rsidR="003722C6" w:rsidRDefault="003722C6" w:rsidP="003C34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B891C" w14:textId="77777777" w:rsidR="009C59A3" w:rsidRDefault="009C59A3" w:rsidP="003C34BB">
      <w:r>
        <w:separator/>
      </w:r>
    </w:p>
  </w:footnote>
  <w:footnote w:type="continuationSeparator" w:id="0">
    <w:p w14:paraId="52A730EF" w14:textId="77777777" w:rsidR="009C59A3" w:rsidRDefault="009C59A3" w:rsidP="003C3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083F7" w14:textId="4E4C1E5E" w:rsidR="003C4259" w:rsidRDefault="00F008CD" w:rsidP="00F008CD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935DEC1" wp14:editId="66EAF89B">
          <wp:simplePos x="0" y="0"/>
          <wp:positionH relativeFrom="column">
            <wp:posOffset>5038725</wp:posOffset>
          </wp:positionH>
          <wp:positionV relativeFrom="paragraph">
            <wp:posOffset>-18415</wp:posOffset>
          </wp:positionV>
          <wp:extent cx="1333500" cy="467722"/>
          <wp:effectExtent l="0" t="0" r="0" b="8890"/>
          <wp:wrapNone/>
          <wp:docPr id="121583733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5837336" name="Picture 1215837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4677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3815"/>
    <w:multiLevelType w:val="hybridMultilevel"/>
    <w:tmpl w:val="6ACA2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F7355"/>
    <w:multiLevelType w:val="hybridMultilevel"/>
    <w:tmpl w:val="0936E03E"/>
    <w:lvl w:ilvl="0" w:tplc="44784102">
      <w:start w:val="1"/>
      <w:numFmt w:val="bullet"/>
      <w:pStyle w:val="ListParagraph"/>
      <w:lvlText w:val=""/>
      <w:lvlJc w:val="left"/>
      <w:pPr>
        <w:ind w:left="648" w:hanging="324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5353BC"/>
    <w:multiLevelType w:val="hybridMultilevel"/>
    <w:tmpl w:val="998AB2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A1B2C3D"/>
    <w:multiLevelType w:val="hybridMultilevel"/>
    <w:tmpl w:val="3A96F64E"/>
    <w:lvl w:ilvl="0" w:tplc="CFF44F00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0F2A1864">
      <w:numFmt w:val="decimal"/>
      <w:lvlText w:val=""/>
      <w:lvlJc w:val="left"/>
    </w:lvl>
    <w:lvl w:ilvl="2" w:tplc="2DCA2594">
      <w:numFmt w:val="decimal"/>
      <w:lvlText w:val=""/>
      <w:lvlJc w:val="left"/>
    </w:lvl>
    <w:lvl w:ilvl="3" w:tplc="2BB40E04">
      <w:numFmt w:val="decimal"/>
      <w:lvlText w:val=""/>
      <w:lvlJc w:val="left"/>
    </w:lvl>
    <w:lvl w:ilvl="4" w:tplc="02026F10">
      <w:numFmt w:val="decimal"/>
      <w:lvlText w:val=""/>
      <w:lvlJc w:val="left"/>
    </w:lvl>
    <w:lvl w:ilvl="5" w:tplc="2AF8D124">
      <w:numFmt w:val="decimal"/>
      <w:lvlText w:val=""/>
      <w:lvlJc w:val="left"/>
    </w:lvl>
    <w:lvl w:ilvl="6" w:tplc="D4EE580C">
      <w:numFmt w:val="decimal"/>
      <w:lvlText w:val=""/>
      <w:lvlJc w:val="left"/>
    </w:lvl>
    <w:lvl w:ilvl="7" w:tplc="4DD8D664">
      <w:numFmt w:val="decimal"/>
      <w:lvlText w:val=""/>
      <w:lvlJc w:val="left"/>
    </w:lvl>
    <w:lvl w:ilvl="8" w:tplc="5DE0CBCE">
      <w:numFmt w:val="decimal"/>
      <w:lvlText w:val=""/>
      <w:lvlJc w:val="left"/>
    </w:lvl>
  </w:abstractNum>
  <w:abstractNum w:abstractNumId="4" w15:restartNumberingAfterBreak="0">
    <w:nsid w:val="1ACE7B42"/>
    <w:multiLevelType w:val="hybridMultilevel"/>
    <w:tmpl w:val="AA40CDA8"/>
    <w:lvl w:ilvl="0" w:tplc="30742730">
      <w:start w:val="1"/>
      <w:numFmt w:val="bullet"/>
      <w:lvlText w:val="●"/>
      <w:lvlJc w:val="left"/>
      <w:pPr>
        <w:ind w:left="720" w:hanging="360"/>
      </w:pPr>
    </w:lvl>
    <w:lvl w:ilvl="1" w:tplc="AF3E8A80">
      <w:start w:val="1"/>
      <w:numFmt w:val="bullet"/>
      <w:lvlText w:val="○"/>
      <w:lvlJc w:val="left"/>
      <w:pPr>
        <w:ind w:left="1440" w:hanging="360"/>
      </w:pPr>
    </w:lvl>
    <w:lvl w:ilvl="2" w:tplc="FA32E784">
      <w:start w:val="1"/>
      <w:numFmt w:val="bullet"/>
      <w:lvlText w:val="■"/>
      <w:lvlJc w:val="left"/>
      <w:pPr>
        <w:ind w:left="2160" w:hanging="360"/>
      </w:pPr>
    </w:lvl>
    <w:lvl w:ilvl="3" w:tplc="46E8B9DC">
      <w:start w:val="1"/>
      <w:numFmt w:val="bullet"/>
      <w:lvlText w:val="●"/>
      <w:lvlJc w:val="left"/>
      <w:pPr>
        <w:ind w:left="2880" w:hanging="360"/>
      </w:pPr>
    </w:lvl>
    <w:lvl w:ilvl="4" w:tplc="E17CDD84">
      <w:start w:val="1"/>
      <w:numFmt w:val="bullet"/>
      <w:lvlText w:val="○"/>
      <w:lvlJc w:val="left"/>
      <w:pPr>
        <w:ind w:left="3600" w:hanging="360"/>
      </w:pPr>
    </w:lvl>
    <w:lvl w:ilvl="5" w:tplc="B104584A">
      <w:start w:val="1"/>
      <w:numFmt w:val="bullet"/>
      <w:lvlText w:val="■"/>
      <w:lvlJc w:val="left"/>
      <w:pPr>
        <w:ind w:left="4320" w:hanging="360"/>
      </w:pPr>
    </w:lvl>
    <w:lvl w:ilvl="6" w:tplc="729EA3E2">
      <w:start w:val="1"/>
      <w:numFmt w:val="bullet"/>
      <w:lvlText w:val="●"/>
      <w:lvlJc w:val="left"/>
      <w:pPr>
        <w:ind w:left="5040" w:hanging="360"/>
      </w:pPr>
    </w:lvl>
    <w:lvl w:ilvl="7" w:tplc="AB8CB8B2">
      <w:start w:val="1"/>
      <w:numFmt w:val="bullet"/>
      <w:lvlText w:val="●"/>
      <w:lvlJc w:val="left"/>
      <w:pPr>
        <w:ind w:left="5760" w:hanging="360"/>
      </w:pPr>
    </w:lvl>
    <w:lvl w:ilvl="8" w:tplc="1390F826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2F7D7BF6"/>
    <w:multiLevelType w:val="hybridMultilevel"/>
    <w:tmpl w:val="4DA889A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9291CED"/>
    <w:multiLevelType w:val="multilevel"/>
    <w:tmpl w:val="CD387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F27113"/>
    <w:multiLevelType w:val="hybridMultilevel"/>
    <w:tmpl w:val="9B0A6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A52F8"/>
    <w:multiLevelType w:val="hybridMultilevel"/>
    <w:tmpl w:val="8DF2F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194F9E"/>
    <w:multiLevelType w:val="multilevel"/>
    <w:tmpl w:val="5D6A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A1F6A1C"/>
    <w:multiLevelType w:val="hybridMultilevel"/>
    <w:tmpl w:val="7EAE377E"/>
    <w:lvl w:ilvl="0" w:tplc="61DA5B14">
      <w:start w:val="1"/>
      <w:numFmt w:val="decimal"/>
      <w:lvlText w:val="%1."/>
      <w:lvlJc w:val="left"/>
      <w:pPr>
        <w:ind w:left="648" w:hanging="324"/>
      </w:pPr>
    </w:lvl>
    <w:lvl w:ilvl="1" w:tplc="81F66300">
      <w:numFmt w:val="decimal"/>
      <w:lvlText w:val=""/>
      <w:lvlJc w:val="left"/>
    </w:lvl>
    <w:lvl w:ilvl="2" w:tplc="7D8610CA">
      <w:numFmt w:val="decimal"/>
      <w:lvlText w:val=""/>
      <w:lvlJc w:val="left"/>
    </w:lvl>
    <w:lvl w:ilvl="3" w:tplc="5EA65F80">
      <w:numFmt w:val="decimal"/>
      <w:lvlText w:val=""/>
      <w:lvlJc w:val="left"/>
    </w:lvl>
    <w:lvl w:ilvl="4" w:tplc="276A90D0">
      <w:numFmt w:val="decimal"/>
      <w:lvlText w:val=""/>
      <w:lvlJc w:val="left"/>
    </w:lvl>
    <w:lvl w:ilvl="5" w:tplc="DD7EB494">
      <w:numFmt w:val="decimal"/>
      <w:lvlText w:val=""/>
      <w:lvlJc w:val="left"/>
    </w:lvl>
    <w:lvl w:ilvl="6" w:tplc="2962F928">
      <w:numFmt w:val="decimal"/>
      <w:lvlText w:val=""/>
      <w:lvlJc w:val="left"/>
    </w:lvl>
    <w:lvl w:ilvl="7" w:tplc="2B9C5FA4">
      <w:numFmt w:val="decimal"/>
      <w:lvlText w:val=""/>
      <w:lvlJc w:val="left"/>
    </w:lvl>
    <w:lvl w:ilvl="8" w:tplc="9C3E9CF0">
      <w:numFmt w:val="decimal"/>
      <w:lvlText w:val=""/>
      <w:lvlJc w:val="left"/>
    </w:lvl>
  </w:abstractNum>
  <w:abstractNum w:abstractNumId="11" w15:restartNumberingAfterBreak="0">
    <w:nsid w:val="6F0862D9"/>
    <w:multiLevelType w:val="multilevel"/>
    <w:tmpl w:val="E13C4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0000100">
    <w:abstractNumId w:val="3"/>
  </w:num>
  <w:num w:numId="2" w16cid:durableId="933394199">
    <w:abstractNumId w:val="4"/>
    <w:lvlOverride w:ilvl="0">
      <w:startOverride w:val="1"/>
    </w:lvlOverride>
  </w:num>
  <w:num w:numId="3" w16cid:durableId="1586300713">
    <w:abstractNumId w:val="10"/>
  </w:num>
  <w:num w:numId="4" w16cid:durableId="679358479">
    <w:abstractNumId w:val="8"/>
  </w:num>
  <w:num w:numId="5" w16cid:durableId="196889302">
    <w:abstractNumId w:val="10"/>
  </w:num>
  <w:num w:numId="6" w16cid:durableId="1249927602">
    <w:abstractNumId w:val="1"/>
  </w:num>
  <w:num w:numId="7" w16cid:durableId="447816262">
    <w:abstractNumId w:val="6"/>
  </w:num>
  <w:num w:numId="8" w16cid:durableId="1609386911">
    <w:abstractNumId w:val="9"/>
  </w:num>
  <w:num w:numId="9" w16cid:durableId="2142922411">
    <w:abstractNumId w:val="11"/>
  </w:num>
  <w:num w:numId="10" w16cid:durableId="9325170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5299548">
    <w:abstractNumId w:val="7"/>
  </w:num>
  <w:num w:numId="12" w16cid:durableId="17583095">
    <w:abstractNumId w:val="0"/>
  </w:num>
  <w:num w:numId="13" w16cid:durableId="1483236866">
    <w:abstractNumId w:val="5"/>
  </w:num>
  <w:num w:numId="14" w16cid:durableId="2166233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D8A"/>
    <w:rsid w:val="0004646F"/>
    <w:rsid w:val="0008707B"/>
    <w:rsid w:val="000D4A1E"/>
    <w:rsid w:val="00102910"/>
    <w:rsid w:val="0014251B"/>
    <w:rsid w:val="00223A3A"/>
    <w:rsid w:val="002A641F"/>
    <w:rsid w:val="002D7D1C"/>
    <w:rsid w:val="003015FB"/>
    <w:rsid w:val="003722C6"/>
    <w:rsid w:val="0038087E"/>
    <w:rsid w:val="003901C2"/>
    <w:rsid w:val="003C34BB"/>
    <w:rsid w:val="003C4259"/>
    <w:rsid w:val="005F6926"/>
    <w:rsid w:val="006C779C"/>
    <w:rsid w:val="006D39E0"/>
    <w:rsid w:val="00726E9E"/>
    <w:rsid w:val="00736537"/>
    <w:rsid w:val="007419DA"/>
    <w:rsid w:val="00773E4F"/>
    <w:rsid w:val="007A020D"/>
    <w:rsid w:val="00843633"/>
    <w:rsid w:val="008F2308"/>
    <w:rsid w:val="00921C6F"/>
    <w:rsid w:val="009618FE"/>
    <w:rsid w:val="009C59A3"/>
    <w:rsid w:val="00A014E1"/>
    <w:rsid w:val="00A025F5"/>
    <w:rsid w:val="00A2738E"/>
    <w:rsid w:val="00A85D8A"/>
    <w:rsid w:val="00AA6E8E"/>
    <w:rsid w:val="00AC333E"/>
    <w:rsid w:val="00AC4BE2"/>
    <w:rsid w:val="00B15534"/>
    <w:rsid w:val="00B17B58"/>
    <w:rsid w:val="00B331B6"/>
    <w:rsid w:val="00B47D66"/>
    <w:rsid w:val="00BF5EDD"/>
    <w:rsid w:val="00C90B48"/>
    <w:rsid w:val="00CD4067"/>
    <w:rsid w:val="00D02C4C"/>
    <w:rsid w:val="00D36A59"/>
    <w:rsid w:val="00D40807"/>
    <w:rsid w:val="00DA7FB5"/>
    <w:rsid w:val="00DF5BD2"/>
    <w:rsid w:val="00E5434A"/>
    <w:rsid w:val="00F008CD"/>
    <w:rsid w:val="00F514BC"/>
    <w:rsid w:val="00F90516"/>
    <w:rsid w:val="00FA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1ED3AB"/>
  <w15:docId w15:val="{D59DC044-E92E-4EBF-B31C-8A9B8A932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4BB"/>
    <w:pPr>
      <w:spacing w:after="120"/>
      <w:jc w:val="both"/>
    </w:pPr>
    <w:rPr>
      <w:sz w:val="22"/>
      <w:szCs w:val="22"/>
    </w:rPr>
  </w:style>
  <w:style w:type="paragraph" w:styleId="Heading1">
    <w:name w:val="heading 1"/>
    <w:uiPriority w:val="9"/>
    <w:qFormat/>
    <w:rsid w:val="00736537"/>
    <w:pPr>
      <w:spacing w:before="200" w:after="100"/>
      <w:outlineLvl w:val="0"/>
    </w:pPr>
    <w:rPr>
      <w:rFonts w:ascii="Calibri" w:hAnsi="Calibri" w:cs="Calibri"/>
      <w:b/>
      <w:bCs/>
      <w:color w:val="4C94D8" w:themeColor="text2" w:themeTint="80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  <w:rsid w:val="00CD4067"/>
    <w:pPr>
      <w:numPr>
        <w:numId w:val="6"/>
      </w:numPr>
      <w:spacing w:before="120" w:after="120"/>
      <w:ind w:left="662" w:hanging="331"/>
    </w:pPr>
    <w:rPr>
      <w:sz w:val="22"/>
      <w:szCs w:val="22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722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2C6"/>
  </w:style>
  <w:style w:type="paragraph" w:styleId="Footer">
    <w:name w:val="footer"/>
    <w:basedOn w:val="Normal"/>
    <w:link w:val="FooterChar"/>
    <w:uiPriority w:val="99"/>
    <w:unhideWhenUsed/>
    <w:rsid w:val="003722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2C6"/>
  </w:style>
  <w:style w:type="character" w:styleId="UnresolvedMention">
    <w:name w:val="Unresolved Mention"/>
    <w:basedOn w:val="DefaultParagraphFont"/>
    <w:uiPriority w:val="99"/>
    <w:semiHidden/>
    <w:unhideWhenUsed/>
    <w:rsid w:val="00AC333E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41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641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SubSubTitle">
    <w:name w:val="SubSubTitle"/>
    <w:basedOn w:val="Normal"/>
    <w:link w:val="SubSubTitleChar"/>
    <w:qFormat/>
    <w:rsid w:val="007419DA"/>
    <w:pPr>
      <w:jc w:val="center"/>
    </w:pPr>
    <w:rPr>
      <w:b/>
      <w:bCs/>
    </w:rPr>
  </w:style>
  <w:style w:type="character" w:customStyle="1" w:styleId="SubSubTitleChar">
    <w:name w:val="SubSubTitle Char"/>
    <w:basedOn w:val="DefaultParagraphFont"/>
    <w:link w:val="SubSubTitle"/>
    <w:rsid w:val="007419DA"/>
    <w:rPr>
      <w:b/>
      <w:bCs/>
      <w:sz w:val="22"/>
      <w:szCs w:val="22"/>
    </w:rPr>
  </w:style>
  <w:style w:type="character" w:styleId="Emphasis">
    <w:name w:val="Emphasis"/>
    <w:basedOn w:val="DefaultParagraphFont"/>
    <w:uiPriority w:val="20"/>
    <w:qFormat/>
    <w:rsid w:val="003C34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ckSteinhauser@HSEAI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9AB95-4F90-4A37-90AC-DA11416E7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2923</Words>
  <Characters>16663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Jack Steinhauser</cp:lastModifiedBy>
  <cp:revision>2</cp:revision>
  <cp:lastPrinted>2026-06-28T18:32:00Z</cp:lastPrinted>
  <dcterms:created xsi:type="dcterms:W3CDTF">2026-08-16T21:58:00Z</dcterms:created>
  <dcterms:modified xsi:type="dcterms:W3CDTF">2026-08-16T21:58:00Z</dcterms:modified>
</cp:coreProperties>
</file>